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F45C95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251657728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C905ED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26.12.2019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B7A23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141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805ABA" w:rsidRPr="00CB016F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 w:rsidR="00805ABA" w:rsidRPr="00CB0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201</w:t>
      </w:r>
      <w:r w:rsidR="00C905ED">
        <w:rPr>
          <w:sz w:val="26"/>
          <w:szCs w:val="26"/>
        </w:rPr>
        <w:t>9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CB016F">
        <w:rPr>
          <w:color w:val="auto"/>
          <w:sz w:val="26"/>
          <w:szCs w:val="26"/>
        </w:rPr>
        <w:t>Разместить</w:t>
      </w:r>
      <w:proofErr w:type="gramEnd"/>
      <w:r w:rsidRPr="00CB016F">
        <w:rPr>
          <w:color w:val="auto"/>
          <w:sz w:val="26"/>
          <w:szCs w:val="26"/>
        </w:rPr>
        <w:t xml:space="preserve">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proofErr w:type="gramStart"/>
      <w:r w:rsidR="003819F5" w:rsidRPr="00CB016F">
        <w:rPr>
          <w:sz w:val="26"/>
          <w:szCs w:val="26"/>
        </w:rPr>
        <w:t>Контроль за</w:t>
      </w:r>
      <w:proofErr w:type="gramEnd"/>
      <w:r w:rsidR="003819F5" w:rsidRPr="00CB016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Ю.М. </w:t>
      </w:r>
      <w:proofErr w:type="spellStart"/>
      <w:r w:rsidR="00745904" w:rsidRPr="00CB016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C905ED">
        <w:rPr>
          <w:rFonts w:ascii="Times New Roman" w:hAnsi="Times New Roman" w:cs="Times New Roman"/>
          <w:color w:val="auto"/>
          <w:sz w:val="26"/>
          <w:szCs w:val="26"/>
        </w:rPr>
        <w:t>26.12.2019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C905ED">
        <w:rPr>
          <w:rFonts w:ascii="Times New Roman" w:hAnsi="Times New Roman" w:cs="Times New Roman"/>
          <w:color w:val="auto"/>
          <w:sz w:val="26"/>
          <w:szCs w:val="26"/>
        </w:rPr>
        <w:t>141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45904">
        <w:rPr>
          <w:rFonts w:ascii="Times New Roman" w:hAnsi="Times New Roman" w:cs="Times New Roman"/>
          <w:b/>
          <w:sz w:val="26"/>
          <w:szCs w:val="26"/>
        </w:rPr>
        <w:t>достигнутые</w:t>
      </w:r>
      <w:proofErr w:type="gramEnd"/>
      <w:r w:rsidRPr="00745904">
        <w:rPr>
          <w:rFonts w:ascii="Times New Roman" w:hAnsi="Times New Roman" w:cs="Times New Roman"/>
          <w:b/>
          <w:sz w:val="26"/>
          <w:szCs w:val="26"/>
        </w:rPr>
        <w:t xml:space="preserve">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C905ED">
        <w:rPr>
          <w:sz w:val="26"/>
          <w:szCs w:val="26"/>
        </w:rPr>
        <w:t>225</w:t>
      </w:r>
      <w:r w:rsidR="00E83D00">
        <w:rPr>
          <w:sz w:val="26"/>
          <w:szCs w:val="26"/>
        </w:rPr>
        <w:t xml:space="preserve"> № </w:t>
      </w:r>
      <w:r w:rsidR="00C905ED">
        <w:rPr>
          <w:sz w:val="26"/>
          <w:szCs w:val="26"/>
        </w:rPr>
        <w:t>16.10.2018 г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proofErr w:type="spellStart"/>
      <w:r w:rsidR="00E83D00">
        <w:rPr>
          <w:sz w:val="26"/>
          <w:szCs w:val="26"/>
        </w:rPr>
        <w:t>Гигантовском</w:t>
      </w:r>
      <w:proofErr w:type="spellEnd"/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</w:t>
      </w:r>
      <w:proofErr w:type="gramStart"/>
      <w:r w:rsidRPr="00745904">
        <w:rPr>
          <w:rFonts w:ascii="Times New Roman" w:hAnsi="Times New Roman" w:cs="Times New Roman"/>
          <w:sz w:val="26"/>
          <w:szCs w:val="26"/>
        </w:rPr>
        <w:t>обучение, по итогам</w:t>
      </w:r>
      <w:proofErr w:type="gramEnd"/>
      <w:r w:rsidRPr="00745904">
        <w:rPr>
          <w:rFonts w:ascii="Times New Roman" w:hAnsi="Times New Roman" w:cs="Times New Roman"/>
          <w:sz w:val="26"/>
          <w:szCs w:val="26"/>
        </w:rPr>
        <w:t xml:space="preserve">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proofErr w:type="gramStart"/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</w:t>
      </w:r>
      <w:proofErr w:type="gramEnd"/>
      <w:r w:rsidRPr="00745904">
        <w:rPr>
          <w:rFonts w:ascii="Times New Roman" w:hAnsi="Times New Roman" w:cs="Times New Roman"/>
          <w:sz w:val="26"/>
          <w:szCs w:val="26"/>
        </w:rPr>
        <w:t xml:space="preserve">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Сведения о достижении значений показателей (индикаторов) муниципальной 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</w:t>
      </w:r>
      <w:proofErr w:type="gramStart"/>
      <w:r w:rsidRPr="00745904">
        <w:rPr>
          <w:rFonts w:ascii="Times New Roman" w:hAnsi="Times New Roman" w:cs="Times New Roman"/>
          <w:sz w:val="26"/>
          <w:szCs w:val="26"/>
        </w:rPr>
        <w:t>достигнуты</w:t>
      </w:r>
      <w:proofErr w:type="gramEnd"/>
      <w:r w:rsidRPr="00745904">
        <w:rPr>
          <w:rFonts w:ascii="Times New Roman" w:hAnsi="Times New Roman" w:cs="Times New Roman"/>
          <w:sz w:val="26"/>
          <w:szCs w:val="26"/>
        </w:rPr>
        <w:t xml:space="preserve">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производилась путем сравнения фактически достигнутых показателей за 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Гигантовском</w:t>
      </w:r>
      <w:proofErr w:type="spellEnd"/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8488D" w:rsidRPr="00745904" w:rsidRDefault="00745904" w:rsidP="008848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7B7A23">
        <w:rPr>
          <w:rFonts w:ascii="Times New Roman" w:eastAsia="Calibri" w:hAnsi="Times New Roman" w:cs="Times New Roman"/>
          <w:sz w:val="26"/>
          <w:szCs w:val="26"/>
          <w:lang w:eastAsia="en-US"/>
        </w:rPr>
        <w:t>в 201</w:t>
      </w:r>
      <w:r w:rsidR="00C905ED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88488D">
        <w:rPr>
          <w:rFonts w:ascii="Times New Roman" w:hAnsi="Times New Roman" w:cs="Times New Roman"/>
          <w:sz w:val="26"/>
          <w:szCs w:val="26"/>
        </w:rPr>
        <w:t xml:space="preserve">два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="0088488D"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88488D">
        <w:rPr>
          <w:rFonts w:ascii="Times New Roman" w:hAnsi="Times New Roman" w:cs="Times New Roman"/>
          <w:sz w:val="26"/>
          <w:szCs w:val="26"/>
        </w:rPr>
        <w:t>ы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88488D">
        <w:rPr>
          <w:rFonts w:ascii="Times New Roman" w:hAnsi="Times New Roman" w:cs="Times New Roman"/>
          <w:sz w:val="26"/>
          <w:szCs w:val="26"/>
        </w:rPr>
        <w:t>я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</w:t>
      </w:r>
      <w:r w:rsidR="0088488D">
        <w:rPr>
          <w:rFonts w:ascii="Times New Roman" w:hAnsi="Times New Roman" w:cs="Times New Roman"/>
          <w:sz w:val="26"/>
          <w:szCs w:val="26"/>
        </w:rPr>
        <w:t>«Противодействие коррупции»</w:t>
      </w:r>
      <w:r w:rsidR="007B7A23">
        <w:rPr>
          <w:rFonts w:ascii="Times New Roman" w:hAnsi="Times New Roman" w:cs="Times New Roman"/>
          <w:sz w:val="26"/>
          <w:szCs w:val="26"/>
        </w:rPr>
        <w:t>, проведена проверка знаний требований охраны труда по обучению руководителей и специалистов  по охране труда</w:t>
      </w:r>
      <w:r w:rsidR="0075138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75138D">
        <w:rPr>
          <w:rFonts w:ascii="Times New Roman" w:hAnsi="Times New Roman" w:cs="Times New Roman"/>
          <w:sz w:val="26"/>
          <w:szCs w:val="26"/>
        </w:rPr>
        <w:t xml:space="preserve"> объеме 40 часов,  проведено </w:t>
      </w:r>
      <w:proofErr w:type="gramStart"/>
      <w:r w:rsidR="0075138D">
        <w:rPr>
          <w:rFonts w:ascii="Times New Roman" w:hAnsi="Times New Roman" w:cs="Times New Roman"/>
          <w:sz w:val="26"/>
          <w:szCs w:val="26"/>
        </w:rPr>
        <w:t>курсовое</w:t>
      </w:r>
      <w:proofErr w:type="gramEnd"/>
      <w:r w:rsidR="0075138D">
        <w:rPr>
          <w:rFonts w:ascii="Times New Roman" w:hAnsi="Times New Roman" w:cs="Times New Roman"/>
          <w:sz w:val="26"/>
          <w:szCs w:val="26"/>
        </w:rPr>
        <w:t xml:space="preserve"> обучении  в области гражданской обороны и защиты от чрезвычайных ситуаций.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C905ED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</w:t>
      </w:r>
      <w:proofErr w:type="gramEnd"/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информации» исполнено на 100 %, все нормативно-правовые акты, </w:t>
      </w:r>
      <w:proofErr w:type="gramStart"/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проекты правовых актов, подлежащие обнародованию и публикации размещены</w:t>
      </w:r>
      <w:proofErr w:type="gramEnd"/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</w:t>
      </w:r>
      <w:proofErr w:type="gramStart"/>
      <w:r w:rsidRPr="0074590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88488D">
        <w:rPr>
          <w:rFonts w:ascii="Times New Roman" w:hAnsi="Times New Roman" w:cs="Times New Roman"/>
          <w:sz w:val="26"/>
          <w:szCs w:val="26"/>
        </w:rPr>
        <w:t>у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C905ED">
        <w:rPr>
          <w:rFonts w:ascii="Times New Roman" w:hAnsi="Times New Roman" w:cs="Times New Roman"/>
          <w:color w:val="auto"/>
        </w:rPr>
        <w:t>26.12.2019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C905ED">
        <w:rPr>
          <w:rFonts w:ascii="Times New Roman" w:hAnsi="Times New Roman" w:cs="Times New Roman"/>
          <w:color w:val="auto"/>
        </w:rPr>
        <w:t>141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201</w:t>
      </w:r>
      <w:r w:rsidR="00C905ED">
        <w:rPr>
          <w:rFonts w:ascii="Times New Roman" w:hAnsi="Times New Roman" w:cs="Times New Roman"/>
          <w:sz w:val="28"/>
        </w:rPr>
        <w:t>9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C905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C905ED">
              <w:rPr>
                <w:rFonts w:ascii="Times New Roman" w:hAnsi="Times New Roman" w:cs="Times New Roman"/>
              </w:rPr>
              <w:t>9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  <w:proofErr w:type="gramEnd"/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792EFE" w:rsidP="00792EFE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  <w:r w:rsidR="004F70B1">
              <w:rPr>
                <w:rFonts w:ascii="Times New Roman" w:hAnsi="Times New Roman" w:cs="Times New Roman"/>
              </w:rPr>
              <w:t xml:space="preserve">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</w:rPr>
              <w:t>16,4</w:t>
            </w:r>
            <w:r w:rsidR="004F70B1">
              <w:rPr>
                <w:rFonts w:ascii="Times New Roman" w:hAnsi="Times New Roman" w:cs="Times New Roman"/>
              </w:rPr>
              <w:t xml:space="preserve">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3C" w:rsidRDefault="00DB593C" w:rsidP="00C360D0">
      <w:r>
        <w:separator/>
      </w:r>
    </w:p>
  </w:endnote>
  <w:endnote w:type="continuationSeparator" w:id="1">
    <w:p w:rsidR="00DB593C" w:rsidRDefault="00DB593C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F45C95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F45C95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792EFE" w:rsidRPr="00792EFE">
        <w:rPr>
          <w:rStyle w:val="105pt"/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3C" w:rsidRDefault="00DB593C"/>
  </w:footnote>
  <w:footnote w:type="continuationSeparator" w:id="1">
    <w:p w:rsidR="00DB593C" w:rsidRDefault="00DB59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33389"/>
    <w:rsid w:val="00076AA9"/>
    <w:rsid w:val="000B62B4"/>
    <w:rsid w:val="000C6CAE"/>
    <w:rsid w:val="00116D46"/>
    <w:rsid w:val="001433F6"/>
    <w:rsid w:val="001764E7"/>
    <w:rsid w:val="0018219C"/>
    <w:rsid w:val="001A2187"/>
    <w:rsid w:val="001D0C49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37309"/>
    <w:rsid w:val="00473146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E30D8"/>
    <w:rsid w:val="00652D8B"/>
    <w:rsid w:val="00690900"/>
    <w:rsid w:val="006A3A7D"/>
    <w:rsid w:val="006B1C22"/>
    <w:rsid w:val="006D0AF8"/>
    <w:rsid w:val="00745904"/>
    <w:rsid w:val="0075138D"/>
    <w:rsid w:val="00776E06"/>
    <w:rsid w:val="00792EFE"/>
    <w:rsid w:val="007B7A23"/>
    <w:rsid w:val="007F32A2"/>
    <w:rsid w:val="00804C08"/>
    <w:rsid w:val="00805ABA"/>
    <w:rsid w:val="0088488D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220BE"/>
    <w:rsid w:val="00B37453"/>
    <w:rsid w:val="00BC4179"/>
    <w:rsid w:val="00C071AA"/>
    <w:rsid w:val="00C360D0"/>
    <w:rsid w:val="00C61B27"/>
    <w:rsid w:val="00C905ED"/>
    <w:rsid w:val="00C9187E"/>
    <w:rsid w:val="00CA4F91"/>
    <w:rsid w:val="00CB016F"/>
    <w:rsid w:val="00D474C9"/>
    <w:rsid w:val="00D72775"/>
    <w:rsid w:val="00DB593C"/>
    <w:rsid w:val="00DB7DF7"/>
    <w:rsid w:val="00DC3CFE"/>
    <w:rsid w:val="00E41486"/>
    <w:rsid w:val="00E66B51"/>
    <w:rsid w:val="00E83D00"/>
    <w:rsid w:val="00F07E00"/>
    <w:rsid w:val="00F45C95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1786</Words>
  <Characters>10182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2</cp:revision>
  <cp:lastPrinted>2017-09-26T14:30:00Z</cp:lastPrinted>
  <dcterms:created xsi:type="dcterms:W3CDTF">2020-02-17T07:44:00Z</dcterms:created>
  <dcterms:modified xsi:type="dcterms:W3CDTF">2020-02-17T07:44:00Z</dcterms:modified>
</cp:coreProperties>
</file>