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1C" w:rsidRPr="00F932D6" w:rsidRDefault="004F401C" w:rsidP="00F932D6">
      <w:pPr>
        <w:pStyle w:val="a3"/>
        <w:shd w:val="clear" w:color="auto" w:fill="FFFFFF"/>
        <w:spacing w:before="0" w:beforeAutospacing="0" w:after="0" w:afterAutospacing="0"/>
        <w:ind w:firstLine="709"/>
        <w:rPr>
          <w:color w:val="000000"/>
          <w:sz w:val="28"/>
          <w:szCs w:val="28"/>
        </w:rPr>
      </w:pPr>
      <w:r w:rsidRPr="00F932D6">
        <w:rPr>
          <w:color w:val="000000"/>
          <w:sz w:val="28"/>
          <w:szCs w:val="28"/>
        </w:rPr>
        <w:t>В соответствии с положениями ст. 137 Трудового кодекса Российской Федерации (далее – ТК РФ) удержания из заработной платы работника производятся только в случаях, предусмотренных ТК РФ и иными федеральными законами.</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Существуют следующие виды удержаний из заработной платы работника: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обязательные удержания, производимые в соответствии с законодательством;</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удержания по инициативе работника;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удержания по инициативе работодателя.</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К обязательным удержаниям относятся налог на доходы физических лиц, закрепленный главой 23 Налогового кодекса Российской Федерации и удержания по исполнительным документам судебных приставов на основании требований Федерального закона «Об исполнительном производстве».</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Удержания по инициативе работника осуществляются при обязательном предоставлении им письменного заявления.</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Работодатель вправе удерживать из заработной платы и иных доходов работника денежные суммы по своей инициативе. Это может происходить в случаях, установленных ст. 137 ТК РФ и иными федеральными законами:</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для возмещения неотработанного аванса, выданного работнику в счет заработной платы;</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для возврата сумм, излишне выплаченных работнику вследствие счетных ошибок;</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за неотработанные дни отпуска.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Взыскания денежных средств с работника-должника по указанным основаниям носят для работодателя добровольный характер.</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В соответствии с положениями ст. 138 ТК РФ общий размер всех удержаний при каждой выплате заработной платы не может превышать 20 %, а в случаях, предусмотренных федеральными законами, например, по исполнительному листу, - 50 % заработной платы, причитающейся работнику.</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При удержании из заработной платы по нескольким исполнительным документам за работником во всяком случае должно быть сохранено 50 % заработной платы.</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Ограничения, установленные ст. 138 ТК РФ,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данных случаях не может превышать 70 %.</w:t>
      </w:r>
    </w:p>
    <w:p w:rsidR="004F401C"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В случае нарушения работодателем трудовых прав необходимо обратиться в государственную инспекцию труда или прокуратуру.</w:t>
      </w: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Помощник </w:t>
      </w:r>
    </w:p>
    <w:p w:rsidR="00110F2A" w:rsidRDefault="00110F2A" w:rsidP="00F932D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Сальского городского прокурора           </w:t>
      </w:r>
    </w:p>
    <w:p w:rsidR="00110F2A" w:rsidRPr="00F932D6" w:rsidRDefault="00110F2A" w:rsidP="00F932D6">
      <w:pPr>
        <w:pStyle w:val="a3"/>
        <w:shd w:val="clear" w:color="auto" w:fill="FFFFFF"/>
        <w:spacing w:before="0" w:beforeAutospacing="0" w:after="0" w:afterAutospacing="0"/>
        <w:ind w:firstLine="709"/>
        <w:jc w:val="both"/>
        <w:rPr>
          <w:color w:val="000000"/>
          <w:sz w:val="28"/>
          <w:szCs w:val="28"/>
        </w:rPr>
      </w:pPr>
      <w:r>
        <w:rPr>
          <w:color w:val="000000"/>
          <w:sz w:val="28"/>
          <w:szCs w:val="28"/>
        </w:rPr>
        <w:t>М.В. Ткаченко</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lastRenderedPageBreak/>
        <w:t xml:space="preserve">Постановление Правительства РФ от 27.08.2020 N 1294 "О внесении изменений в Правила оказания услуг по перевозкам на железнодорожном транспорте пассажиров, а также грузов, багажа и </w:t>
      </w:r>
      <w:proofErr w:type="spellStart"/>
      <w:r w:rsidRPr="004F401C">
        <w:rPr>
          <w:rFonts w:ascii="Times New Roman" w:eastAsia="Times New Roman" w:hAnsi="Times New Roman" w:cs="Times New Roman"/>
          <w:color w:val="000000"/>
          <w:sz w:val="28"/>
          <w:szCs w:val="28"/>
          <w:lang w:eastAsia="ru-RU"/>
        </w:rPr>
        <w:t>грузобагажа</w:t>
      </w:r>
      <w:proofErr w:type="spellEnd"/>
      <w:r w:rsidRPr="004F401C">
        <w:rPr>
          <w:rFonts w:ascii="Times New Roman" w:eastAsia="Times New Roman" w:hAnsi="Times New Roman" w:cs="Times New Roman"/>
          <w:color w:val="000000"/>
          <w:sz w:val="28"/>
          <w:szCs w:val="28"/>
          <w:lang w:eastAsia="ru-RU"/>
        </w:rPr>
        <w:t xml:space="preserve"> для личных, семейных, домашних и иных нужд, не связанных с осуществлением предпринимательской деятельности"</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Установлено, в частности, что при оформлении проездного документа (билета) на поезд дальнего следования с использованием официального сайта перевозчика в информационно-телекоммуникационной сети "Интернет" для идентификации и аутентификации пассажира используются единая система идентификации и аутентификации и иные способы идентификации и аутентификации, определенные перевозчиком.</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Оформление проездного документа (билета) на поезд дальнего следования для пассажира из числа инвалидов, а также оказание ему без взимания дополнительной платы услуг в соответствии с законодательством РФ производятся на основании сведений о документе, удостоверяющем личность пассажира, а также на основании документа, подтверждающего инвалидность, в том числе подтверждающего необходимость использования кресла-коляски, или сведений, предоставляемых оператором ФГИС "Федеральный реестр инвалидов" о факте установления инвалидности, группе инвалидности (категории ребенок-инвалид), степени ограничения способности к самостоятельному передвижению, в том числе рекомендации в обеспечении креслом-коляской.</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Оформление проездного документа (билета) на поезд пригородного сообщения лицу, имеющему право оплаты стоимости проезда со скидкой или бесплатного проезда, производится, в том числе, на основании сведений о гражданах, которым предоставляется социальная услуга в виде бесплатного проезда железнодорожным транспортом пригородного сообщения, представляемых в электронном виде операторами информационных систем, содержащих сведения о гражданах, которым предоставляется указанная социальная услуга, сроке ее действия, а также сведений о документе, подтверждающем указанное право.</w:t>
      </w:r>
    </w:p>
    <w:p w:rsid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Также предусматривается, что заявление на возврат причитающихся средств за неиспользованный проездной документ (билет), приобретенный пассажиром с использованием официального сайта владельца инфраструктуры или официального сайта перевозчика в сети "Интернет", может быть подано через Единый портал государственных и муниципальных услуг (функций).</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110F2A" w:rsidRPr="004F401C" w:rsidRDefault="005A19A9"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Суворов Н.А.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F401C" w:rsidRDefault="004F401C" w:rsidP="00F932D6">
      <w:pPr>
        <w:pStyle w:val="a3"/>
        <w:shd w:val="clear" w:color="auto" w:fill="FFFFFF"/>
        <w:spacing w:before="0" w:beforeAutospacing="0" w:after="0" w:afterAutospacing="0"/>
        <w:ind w:firstLine="709"/>
        <w:jc w:val="both"/>
        <w:rPr>
          <w:color w:val="000000"/>
          <w:sz w:val="28"/>
          <w:szCs w:val="28"/>
        </w:rPr>
      </w:pPr>
    </w:p>
    <w:p w:rsidR="00F932D6" w:rsidRDefault="00F932D6"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F932D6" w:rsidRDefault="00F932D6" w:rsidP="00F932D6">
      <w:pPr>
        <w:pStyle w:val="a3"/>
        <w:shd w:val="clear" w:color="auto" w:fill="FFFFFF"/>
        <w:spacing w:before="0" w:beforeAutospacing="0" w:after="0" w:afterAutospacing="0"/>
        <w:ind w:firstLine="709"/>
        <w:jc w:val="both"/>
        <w:rPr>
          <w:color w:val="000000"/>
          <w:sz w:val="28"/>
          <w:szCs w:val="28"/>
        </w:rPr>
      </w:pPr>
    </w:p>
    <w:p w:rsidR="00F932D6" w:rsidRPr="00F932D6" w:rsidRDefault="00F932D6" w:rsidP="00F932D6">
      <w:pPr>
        <w:pStyle w:val="a3"/>
        <w:shd w:val="clear" w:color="auto" w:fill="FFFFFF"/>
        <w:spacing w:before="0" w:beforeAutospacing="0" w:after="0" w:afterAutospacing="0"/>
        <w:ind w:firstLine="709"/>
        <w:jc w:val="both"/>
        <w:rPr>
          <w:color w:val="000000"/>
          <w:sz w:val="28"/>
          <w:szCs w:val="28"/>
        </w:rPr>
      </w:pP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lastRenderedPageBreak/>
        <w:t>В соответствии со ст. 20 Федерального закона от 21.11.2011 № 323-ФЗ «Об основах охраны здоровья граждан в Российской Федерации» для медицинского вмешательства обязательно требуется предварительное согласие гражданина либо его законного представителя.</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Такое согласие дается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вмешательства, о его последствиях, а также о предполагаемых результатах оказания медицинской помощи.</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При этом данное согласие должно быть оформлено в письменной форме.</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В том случае, если пациент является несовершеннолетним, недееспособным информированное добровольное согласие на медицинское вмешательство дают один из родителей либо иной законный представитель.</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При отказе от медицинского вмешательства гражданину разъясняются последствия такого отказа.</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Медицинское вмешательство без согласия гражданина, одного из родителей или иного законного представителя допускается: если такое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страдающих заболеваниями, представляющими опасность для окружающих; в отношении лиц, страдающих тяжелыми психическими расстройствами; в отношении лиц, совершивших общественно-опасные деяния (преступления); при проведении судебно-медицинской экспертизы и (или) судебно-психиатрической экспертизы; при оказании паллиативной медицинской помощи, если состояние гражданина не позволяет ему выразить свою волю и отсутствует законный представитель.</w:t>
      </w: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110F2A" w:rsidRPr="004F401C"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Воронкина</w:t>
      </w:r>
      <w:proofErr w:type="spellEnd"/>
      <w:r>
        <w:rPr>
          <w:rFonts w:ascii="Times New Roman" w:eastAsia="Times New Roman" w:hAnsi="Times New Roman" w:cs="Times New Roman"/>
          <w:color w:val="000000"/>
          <w:sz w:val="28"/>
          <w:szCs w:val="28"/>
          <w:lang w:eastAsia="ru-RU"/>
        </w:rPr>
        <w:t xml:space="preserve"> В.А.</w:t>
      </w:r>
    </w:p>
    <w:p w:rsidR="004F401C" w:rsidRDefault="004F401C"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Pr="00F932D6" w:rsidRDefault="00110F2A" w:rsidP="00F932D6">
      <w:pPr>
        <w:pStyle w:val="a3"/>
        <w:shd w:val="clear" w:color="auto" w:fill="FFFFFF"/>
        <w:spacing w:before="0" w:beforeAutospacing="0" w:after="0" w:afterAutospacing="0"/>
        <w:ind w:firstLine="709"/>
        <w:jc w:val="both"/>
        <w:rPr>
          <w:color w:val="000000"/>
          <w:sz w:val="28"/>
          <w:szCs w:val="28"/>
        </w:rPr>
      </w:pP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lastRenderedPageBreak/>
        <w:t>В целях предотвращения распространения</w:t>
      </w:r>
      <w:r w:rsidR="00110F2A">
        <w:rPr>
          <w:rFonts w:ascii="Times New Roman" w:eastAsia="Times New Roman" w:hAnsi="Times New Roman" w:cs="Times New Roman"/>
          <w:color w:val="000000"/>
          <w:sz w:val="28"/>
          <w:szCs w:val="28"/>
          <w:lang w:eastAsia="ru-RU"/>
        </w:rPr>
        <w:t xml:space="preserve"> новой </w:t>
      </w:r>
      <w:proofErr w:type="spellStart"/>
      <w:r w:rsidR="00110F2A">
        <w:rPr>
          <w:rFonts w:ascii="Times New Roman" w:eastAsia="Times New Roman" w:hAnsi="Times New Roman" w:cs="Times New Roman"/>
          <w:color w:val="000000"/>
          <w:sz w:val="28"/>
          <w:szCs w:val="28"/>
          <w:lang w:eastAsia="ru-RU"/>
        </w:rPr>
        <w:t>коронавирусной</w:t>
      </w:r>
      <w:proofErr w:type="spellEnd"/>
      <w:r w:rsidR="00110F2A">
        <w:rPr>
          <w:rFonts w:ascii="Times New Roman" w:eastAsia="Times New Roman" w:hAnsi="Times New Roman" w:cs="Times New Roman"/>
          <w:color w:val="000000"/>
          <w:sz w:val="28"/>
          <w:szCs w:val="28"/>
          <w:lang w:eastAsia="ru-RU"/>
        </w:rPr>
        <w:t xml:space="preserve"> инфекции п</w:t>
      </w:r>
      <w:r w:rsidRPr="004F401C">
        <w:rPr>
          <w:rFonts w:ascii="Times New Roman" w:eastAsia="Times New Roman" w:hAnsi="Times New Roman" w:cs="Times New Roman"/>
          <w:color w:val="000000"/>
          <w:sz w:val="28"/>
          <w:szCs w:val="28"/>
          <w:lang w:eastAsia="ru-RU"/>
        </w:rPr>
        <w:t>остановлением Правительства РФ от 24.10.2020 № 1730 утвержден Временный 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w:t>
      </w:r>
      <w:r w:rsidR="00110F2A">
        <w:rPr>
          <w:rFonts w:ascii="Times New Roman" w:eastAsia="Times New Roman" w:hAnsi="Times New Roman" w:cs="Times New Roman"/>
          <w:color w:val="000000"/>
          <w:sz w:val="28"/>
          <w:szCs w:val="28"/>
          <w:lang w:eastAsia="ru-RU"/>
        </w:rPr>
        <w:t xml:space="preserve"> </w:t>
      </w:r>
      <w:r w:rsidRPr="004F401C">
        <w:rPr>
          <w:rFonts w:ascii="Times New Roman" w:eastAsia="Times New Roman" w:hAnsi="Times New Roman" w:cs="Times New Roman"/>
          <w:color w:val="000000"/>
          <w:sz w:val="28"/>
          <w:szCs w:val="28"/>
          <w:lang w:eastAsia="ru-RU"/>
        </w:rPr>
        <w:t>Пунктом 2 указанного Порядка установлено, что освидетельствование в учреждении медико-социальной экспертизы проводится без личного участия пострадавшего - заочно.</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Согласно пунктам 3-5 Порядка установление степени утраты профессиональной трудоспособности пострадавшим, срок переосвидетельствования которого наступает в период действия Порядка осуществляется путем продления ранее установленной степени утраты профессиональной трудоспособности и составления программы реабилитации пострадавшего с сохранением в ней всех ранее рекомендованных реабилитационных мероприятий</w:t>
      </w:r>
      <w:r w:rsidR="00D27479" w:rsidRPr="00F932D6">
        <w:rPr>
          <w:rFonts w:ascii="Times New Roman" w:eastAsia="Times New Roman" w:hAnsi="Times New Roman" w:cs="Times New Roman"/>
          <w:color w:val="000000"/>
          <w:sz w:val="28"/>
          <w:szCs w:val="28"/>
          <w:lang w:eastAsia="ru-RU"/>
        </w:rPr>
        <w:t xml:space="preserve">. </w:t>
      </w:r>
      <w:r w:rsidRPr="004F401C">
        <w:rPr>
          <w:rFonts w:ascii="Times New Roman" w:eastAsia="Times New Roman" w:hAnsi="Times New Roman" w:cs="Times New Roman"/>
          <w:color w:val="000000"/>
          <w:sz w:val="28"/>
          <w:szCs w:val="28"/>
          <w:lang w:eastAsia="ru-RU"/>
        </w:rPr>
        <w:t>Степень утраты профессиональной трудоспособности продлевается на 6 месяцев и устанавливается с даты, до которой она была установлена при предыдущем освидетельствовании.</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Программа реабилитации пострадавшего составляется также на 6 месяцев с даты окончания срока действия ранее составленной программы реабилитации пострадавшего.</w:t>
      </w:r>
      <w:r w:rsidR="00110F2A">
        <w:rPr>
          <w:rFonts w:ascii="Times New Roman" w:eastAsia="Times New Roman" w:hAnsi="Times New Roman" w:cs="Times New Roman"/>
          <w:color w:val="000000"/>
          <w:sz w:val="28"/>
          <w:szCs w:val="28"/>
          <w:lang w:eastAsia="ru-RU"/>
        </w:rPr>
        <w:t xml:space="preserve"> </w:t>
      </w:r>
      <w:r w:rsidRPr="004F401C">
        <w:rPr>
          <w:rFonts w:ascii="Times New Roman" w:eastAsia="Times New Roman" w:hAnsi="Times New Roman" w:cs="Times New Roman"/>
          <w:color w:val="000000"/>
          <w:sz w:val="28"/>
          <w:szCs w:val="28"/>
          <w:lang w:eastAsia="ru-RU"/>
        </w:rPr>
        <w:t>Продление степени утраты профессиональной трудоспособности, а также составление программы реабилитации пострадавшего осуществляются без обращения пострадавшего (его законного или уполномоченного представителя) в учреждение медико-социальной экспертизы о проведении освидетельствования.В соответствии с п. 10 Порядка справка, подтверждающая факт установления степени утраты профессиональной трудоспособности, программа реабилитации пострадавшего направляются пострадавшему заказным почтовым отправлением с соблюдением требований законодательства Российской Федерации о персональных данных.</w:t>
      </w:r>
    </w:p>
    <w:p w:rsid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Постановление распространяется на правоотношения, возникшие с 02.10.2020, и действует до 01.03.2021.</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110F2A" w:rsidRDefault="005A19A9"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Суворов Н.А.</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Pr="004F401C"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91B04" w:rsidRPr="00F932D6" w:rsidRDefault="00491B04" w:rsidP="00F932D6">
      <w:pPr>
        <w:spacing w:after="0" w:line="240" w:lineRule="auto"/>
        <w:ind w:firstLine="709"/>
        <w:rPr>
          <w:rFonts w:ascii="Times New Roman" w:hAnsi="Times New Roman" w:cs="Times New Roman"/>
          <w:sz w:val="28"/>
          <w:szCs w:val="28"/>
        </w:rPr>
      </w:pPr>
    </w:p>
    <w:p w:rsidR="00D27479" w:rsidRDefault="00D27479" w:rsidP="00F932D6">
      <w:pPr>
        <w:spacing w:after="0" w:line="240" w:lineRule="auto"/>
        <w:ind w:firstLine="709"/>
        <w:rPr>
          <w:rFonts w:ascii="Times New Roman" w:hAnsi="Times New Roman" w:cs="Times New Roman"/>
          <w:sz w:val="28"/>
          <w:szCs w:val="28"/>
        </w:rPr>
      </w:pPr>
    </w:p>
    <w:p w:rsidR="00F932D6" w:rsidRDefault="00F932D6" w:rsidP="00F932D6">
      <w:pPr>
        <w:spacing w:after="0" w:line="240" w:lineRule="auto"/>
        <w:ind w:firstLine="709"/>
        <w:rPr>
          <w:rFonts w:ascii="Times New Roman" w:hAnsi="Times New Roman" w:cs="Times New Roman"/>
          <w:sz w:val="28"/>
          <w:szCs w:val="28"/>
        </w:rPr>
      </w:pPr>
    </w:p>
    <w:p w:rsidR="00F932D6" w:rsidRDefault="00F932D6" w:rsidP="00F932D6">
      <w:pPr>
        <w:spacing w:after="0" w:line="240" w:lineRule="auto"/>
        <w:ind w:firstLine="709"/>
        <w:rPr>
          <w:rFonts w:ascii="Times New Roman" w:hAnsi="Times New Roman" w:cs="Times New Roman"/>
          <w:sz w:val="28"/>
          <w:szCs w:val="28"/>
        </w:rPr>
      </w:pPr>
    </w:p>
    <w:p w:rsidR="00F932D6" w:rsidRDefault="00F932D6" w:rsidP="00F932D6">
      <w:pPr>
        <w:spacing w:after="0" w:line="240" w:lineRule="auto"/>
        <w:ind w:firstLine="709"/>
        <w:rPr>
          <w:rFonts w:ascii="Times New Roman" w:hAnsi="Times New Roman" w:cs="Times New Roman"/>
          <w:sz w:val="28"/>
          <w:szCs w:val="28"/>
        </w:rPr>
      </w:pPr>
    </w:p>
    <w:p w:rsidR="00F932D6" w:rsidRPr="00F932D6" w:rsidRDefault="00F932D6" w:rsidP="00F932D6">
      <w:pPr>
        <w:spacing w:after="0" w:line="240" w:lineRule="auto"/>
        <w:ind w:firstLine="709"/>
        <w:rPr>
          <w:rFonts w:ascii="Times New Roman" w:hAnsi="Times New Roman" w:cs="Times New Roman"/>
          <w:sz w:val="28"/>
          <w:szCs w:val="28"/>
        </w:rPr>
      </w:pPr>
    </w:p>
    <w:p w:rsidR="00D27479" w:rsidRPr="00F932D6" w:rsidRDefault="00D27479" w:rsidP="00F932D6">
      <w:pPr>
        <w:spacing w:after="0" w:line="240" w:lineRule="auto"/>
        <w:ind w:firstLine="709"/>
        <w:rPr>
          <w:rFonts w:ascii="Times New Roman" w:hAnsi="Times New Roman" w:cs="Times New Roman"/>
          <w:sz w:val="28"/>
          <w:szCs w:val="28"/>
        </w:rPr>
      </w:pPr>
    </w:p>
    <w:p w:rsidR="004276DA" w:rsidRPr="00F932D6" w:rsidRDefault="004276DA" w:rsidP="00F932D6">
      <w:pPr>
        <w:spacing w:after="0" w:line="240" w:lineRule="auto"/>
        <w:ind w:firstLine="709"/>
        <w:rPr>
          <w:rFonts w:ascii="Times New Roman" w:hAnsi="Times New Roman" w:cs="Times New Roman"/>
          <w:sz w:val="28"/>
          <w:szCs w:val="28"/>
        </w:rPr>
      </w:pP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Федеральным законом от 27.10.2020 № 345-ФЗ</w:t>
      </w:r>
      <w:r w:rsidR="00D63FB8">
        <w:rPr>
          <w:rFonts w:ascii="Times New Roman" w:eastAsia="Times New Roman" w:hAnsi="Times New Roman" w:cs="Times New Roman"/>
          <w:color w:val="000000"/>
          <w:sz w:val="28"/>
          <w:szCs w:val="28"/>
          <w:lang w:eastAsia="ru-RU"/>
        </w:rPr>
        <w:t xml:space="preserve"> </w:t>
      </w:r>
      <w:r w:rsidRPr="004276DA">
        <w:rPr>
          <w:rFonts w:ascii="Times New Roman" w:eastAsia="Times New Roman" w:hAnsi="Times New Roman" w:cs="Times New Roman"/>
          <w:color w:val="000000"/>
          <w:sz w:val="28"/>
          <w:szCs w:val="28"/>
          <w:lang w:eastAsia="ru-RU"/>
        </w:rPr>
        <w:t>внесены изменения в статью 2 Федерального закона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Законом приостановлено действие правила, согласно которому заявление и документы о среднедушевом доходе нужно подавать трижды, так как выплата назначается на срок до достижения ребенком возраста одного года, двух лет, а затем трех лет.</w:t>
      </w: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Выплаты будут осуществляться без подачи документов.</w:t>
      </w: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Таким образом, по 1 марта 2021 года такие выплаты будут назначаться без подачи заявлений.</w:t>
      </w:r>
    </w:p>
    <w:p w:rsidR="00D63FB8" w:rsidRDefault="00D63FB8"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63FB8" w:rsidRDefault="00D63FB8"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D63FB8" w:rsidRDefault="00D63FB8"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D63FB8" w:rsidRPr="004F401C" w:rsidRDefault="005A19A9"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Криворотова И.Н.</w:t>
      </w:r>
    </w:p>
    <w:p w:rsidR="004276DA" w:rsidRPr="00F932D6" w:rsidRDefault="004276DA" w:rsidP="00F932D6">
      <w:pPr>
        <w:spacing w:after="0" w:line="240" w:lineRule="auto"/>
        <w:ind w:firstLine="709"/>
        <w:rPr>
          <w:rFonts w:ascii="Times New Roman" w:hAnsi="Times New Roman" w:cs="Times New Roman"/>
          <w:sz w:val="28"/>
          <w:szCs w:val="28"/>
        </w:rPr>
      </w:pPr>
    </w:p>
    <w:p w:rsidR="004276DA" w:rsidRDefault="004276DA"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Pr="00F932D6" w:rsidRDefault="00D63FB8" w:rsidP="00F932D6">
      <w:pPr>
        <w:spacing w:after="0" w:line="240" w:lineRule="auto"/>
        <w:ind w:firstLine="709"/>
        <w:rPr>
          <w:rFonts w:ascii="Times New Roman" w:hAnsi="Times New Roman" w:cs="Times New Roman"/>
          <w:sz w:val="28"/>
          <w:szCs w:val="28"/>
        </w:rPr>
      </w:pPr>
    </w:p>
    <w:p w:rsidR="004276DA" w:rsidRPr="00F932D6" w:rsidRDefault="004276DA" w:rsidP="00F932D6">
      <w:pPr>
        <w:spacing w:after="0" w:line="240" w:lineRule="auto"/>
        <w:ind w:firstLine="709"/>
        <w:rPr>
          <w:rFonts w:ascii="Times New Roman" w:hAnsi="Times New Roman" w:cs="Times New Roman"/>
          <w:sz w:val="28"/>
          <w:szCs w:val="28"/>
        </w:rPr>
      </w:pP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lastRenderedPageBreak/>
        <w:t xml:space="preserve">Федеральным законом от 31.07.2020 № 303-ФЗ внесены изменения в отдельные законодательные акты Российской Федерации по вопросу охраны здоровья граждан от последствий потребления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На данную продукцию распространено действие Федерального закона от 23.02.2013 № 15-ФЗ «Об охране здоровья граждан от воздействия окружающего табачного дыма и последствий потребления табака» (далее - Федеральный закон № 15-ФЗ).</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На федеральном уровне законодательно закреплены понятия «</w:t>
      </w:r>
      <w:proofErr w:type="spellStart"/>
      <w:r w:rsidRPr="00F932D6">
        <w:rPr>
          <w:rFonts w:ascii="Times New Roman" w:hAnsi="Times New Roman" w:cs="Times New Roman"/>
          <w:sz w:val="28"/>
          <w:szCs w:val="28"/>
        </w:rPr>
        <w:t>никотинсодержащая</w:t>
      </w:r>
      <w:proofErr w:type="spellEnd"/>
      <w:r w:rsidRPr="00F932D6">
        <w:rPr>
          <w:rFonts w:ascii="Times New Roman" w:hAnsi="Times New Roman" w:cs="Times New Roman"/>
          <w:sz w:val="28"/>
          <w:szCs w:val="28"/>
        </w:rPr>
        <w:t xml:space="preserve"> продукция», «</w:t>
      </w:r>
      <w:proofErr w:type="spellStart"/>
      <w:r w:rsidRPr="00F932D6">
        <w:rPr>
          <w:rFonts w:ascii="Times New Roman" w:hAnsi="Times New Roman" w:cs="Times New Roman"/>
          <w:sz w:val="28"/>
          <w:szCs w:val="28"/>
        </w:rPr>
        <w:t>никотинсодержащая</w:t>
      </w:r>
      <w:proofErr w:type="spellEnd"/>
      <w:r w:rsidRPr="00F932D6">
        <w:rPr>
          <w:rFonts w:ascii="Times New Roman" w:hAnsi="Times New Roman" w:cs="Times New Roman"/>
          <w:sz w:val="28"/>
          <w:szCs w:val="28"/>
        </w:rPr>
        <w:t xml:space="preserve"> жидкость», «пищевая </w:t>
      </w:r>
      <w:proofErr w:type="spellStart"/>
      <w:r w:rsidRPr="00F932D6">
        <w:rPr>
          <w:rFonts w:ascii="Times New Roman" w:hAnsi="Times New Roman" w:cs="Times New Roman"/>
          <w:sz w:val="28"/>
          <w:szCs w:val="28"/>
        </w:rPr>
        <w:t>никотинсодержащая</w:t>
      </w:r>
      <w:proofErr w:type="spellEnd"/>
      <w:r w:rsidRPr="00F932D6">
        <w:rPr>
          <w:rFonts w:ascii="Times New Roman" w:hAnsi="Times New Roman" w:cs="Times New Roman"/>
          <w:sz w:val="28"/>
          <w:szCs w:val="28"/>
        </w:rPr>
        <w:t xml:space="preserve"> продукция», «потребление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 и «устройства для потребления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 xml:space="preserve">Статьей 20 Федерального закона № 15-ФЗ запрещена продажа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 кальянов и устройств для потребления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 несовершеннолетним и несовершеннолетними.</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 xml:space="preserve">Частью 8 статьи 19 Федерального закона № 15-ФЗ установлен полный запрет на оптовую и розничную торговлю пищевой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продукцией, а также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продукцией, предназначенной для жевания, сосания, нюханья.</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Взаимосвязанные поправки внесены в КоАП РФ, ответственность за нарушение указанных запретов регламентирована частями 2 и 3 статьи 14.53 КоАП РФ.</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Размер административных штрафов за совершение правонарушений достигает семидесяти тысяч рублей для должностных лиц и трехсот тысяч рублей для юридических лиц.</w:t>
      </w:r>
    </w:p>
    <w:p w:rsidR="005A19A9"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A19A9"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5A19A9"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5A19A9" w:rsidRPr="004F401C"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Воронкина</w:t>
      </w:r>
      <w:proofErr w:type="spellEnd"/>
      <w:r>
        <w:rPr>
          <w:rFonts w:ascii="Times New Roman" w:eastAsia="Times New Roman" w:hAnsi="Times New Roman" w:cs="Times New Roman"/>
          <w:color w:val="000000"/>
          <w:sz w:val="28"/>
          <w:szCs w:val="28"/>
          <w:lang w:eastAsia="ru-RU"/>
        </w:rPr>
        <w:t xml:space="preserve"> В.А.</w:t>
      </w:r>
    </w:p>
    <w:p w:rsidR="00E43F2F" w:rsidRPr="00F932D6" w:rsidRDefault="00E43F2F" w:rsidP="00F932D6">
      <w:pPr>
        <w:spacing w:after="0" w:line="240" w:lineRule="auto"/>
        <w:ind w:firstLine="709"/>
        <w:jc w:val="both"/>
        <w:rPr>
          <w:rFonts w:ascii="Times New Roman" w:hAnsi="Times New Roman" w:cs="Times New Roman"/>
          <w:sz w:val="28"/>
          <w:szCs w:val="28"/>
        </w:rPr>
      </w:pPr>
    </w:p>
    <w:p w:rsidR="00E43F2F" w:rsidRDefault="00E43F2F" w:rsidP="00F932D6">
      <w:pPr>
        <w:spacing w:after="0" w:line="240" w:lineRule="auto"/>
        <w:ind w:firstLine="709"/>
        <w:jc w:val="both"/>
        <w:rPr>
          <w:rFonts w:ascii="Times New Roman" w:hAnsi="Times New Roman" w:cs="Times New Roman"/>
          <w:sz w:val="28"/>
          <w:szCs w:val="28"/>
        </w:rPr>
      </w:pPr>
    </w:p>
    <w:p w:rsidR="00F932D6" w:rsidRDefault="00F932D6" w:rsidP="00F932D6">
      <w:pPr>
        <w:spacing w:after="0" w:line="240" w:lineRule="auto"/>
        <w:ind w:firstLine="709"/>
        <w:jc w:val="both"/>
        <w:rPr>
          <w:rFonts w:ascii="Times New Roman" w:hAnsi="Times New Roman" w:cs="Times New Roman"/>
          <w:sz w:val="28"/>
          <w:szCs w:val="28"/>
        </w:rPr>
      </w:pPr>
    </w:p>
    <w:p w:rsidR="00BB60C3" w:rsidRDefault="00BB60C3" w:rsidP="00BB60C3">
      <w:pPr>
        <w:spacing w:after="0" w:line="240" w:lineRule="auto"/>
        <w:ind w:firstLine="709"/>
        <w:jc w:val="both"/>
        <w:rPr>
          <w:rFonts w:ascii="Times New Roman" w:hAnsi="Times New Roman" w:cs="Times New Roman"/>
          <w:sz w:val="28"/>
          <w:szCs w:val="28"/>
        </w:rPr>
      </w:pPr>
    </w:p>
    <w:sectPr w:rsidR="00BB60C3" w:rsidSect="00110F2A">
      <w:pgSz w:w="11906" w:h="16838"/>
      <w:pgMar w:top="113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77532"/>
    <w:rsid w:val="00110F2A"/>
    <w:rsid w:val="002902B8"/>
    <w:rsid w:val="004276DA"/>
    <w:rsid w:val="00491B04"/>
    <w:rsid w:val="004F401C"/>
    <w:rsid w:val="0052780A"/>
    <w:rsid w:val="005A19A9"/>
    <w:rsid w:val="00677532"/>
    <w:rsid w:val="00AA696E"/>
    <w:rsid w:val="00BB60C3"/>
    <w:rsid w:val="00D27479"/>
    <w:rsid w:val="00D63FB8"/>
    <w:rsid w:val="00E43F2F"/>
    <w:rsid w:val="00F93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0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522222">
      <w:bodyDiv w:val="1"/>
      <w:marLeft w:val="0"/>
      <w:marRight w:val="0"/>
      <w:marTop w:val="0"/>
      <w:marBottom w:val="0"/>
      <w:divBdr>
        <w:top w:val="none" w:sz="0" w:space="0" w:color="auto"/>
        <w:left w:val="none" w:sz="0" w:space="0" w:color="auto"/>
        <w:bottom w:val="none" w:sz="0" w:space="0" w:color="auto"/>
        <w:right w:val="none" w:sz="0" w:space="0" w:color="auto"/>
      </w:divBdr>
    </w:div>
    <w:div w:id="131600638">
      <w:bodyDiv w:val="1"/>
      <w:marLeft w:val="0"/>
      <w:marRight w:val="0"/>
      <w:marTop w:val="0"/>
      <w:marBottom w:val="0"/>
      <w:divBdr>
        <w:top w:val="none" w:sz="0" w:space="0" w:color="auto"/>
        <w:left w:val="none" w:sz="0" w:space="0" w:color="auto"/>
        <w:bottom w:val="none" w:sz="0" w:space="0" w:color="auto"/>
        <w:right w:val="none" w:sz="0" w:space="0" w:color="auto"/>
      </w:divBdr>
    </w:div>
    <w:div w:id="317001895">
      <w:bodyDiv w:val="1"/>
      <w:marLeft w:val="0"/>
      <w:marRight w:val="0"/>
      <w:marTop w:val="0"/>
      <w:marBottom w:val="0"/>
      <w:divBdr>
        <w:top w:val="none" w:sz="0" w:space="0" w:color="auto"/>
        <w:left w:val="none" w:sz="0" w:space="0" w:color="auto"/>
        <w:bottom w:val="none" w:sz="0" w:space="0" w:color="auto"/>
        <w:right w:val="none" w:sz="0" w:space="0" w:color="auto"/>
      </w:divBdr>
    </w:div>
    <w:div w:id="350643254">
      <w:bodyDiv w:val="1"/>
      <w:marLeft w:val="0"/>
      <w:marRight w:val="0"/>
      <w:marTop w:val="0"/>
      <w:marBottom w:val="0"/>
      <w:divBdr>
        <w:top w:val="none" w:sz="0" w:space="0" w:color="auto"/>
        <w:left w:val="none" w:sz="0" w:space="0" w:color="auto"/>
        <w:bottom w:val="none" w:sz="0" w:space="0" w:color="auto"/>
        <w:right w:val="none" w:sz="0" w:space="0" w:color="auto"/>
      </w:divBdr>
    </w:div>
    <w:div w:id="399257600">
      <w:bodyDiv w:val="1"/>
      <w:marLeft w:val="0"/>
      <w:marRight w:val="0"/>
      <w:marTop w:val="0"/>
      <w:marBottom w:val="0"/>
      <w:divBdr>
        <w:top w:val="none" w:sz="0" w:space="0" w:color="auto"/>
        <w:left w:val="none" w:sz="0" w:space="0" w:color="auto"/>
        <w:bottom w:val="none" w:sz="0" w:space="0" w:color="auto"/>
        <w:right w:val="none" w:sz="0" w:space="0" w:color="auto"/>
      </w:divBdr>
    </w:div>
    <w:div w:id="421074301">
      <w:bodyDiv w:val="1"/>
      <w:marLeft w:val="0"/>
      <w:marRight w:val="0"/>
      <w:marTop w:val="0"/>
      <w:marBottom w:val="0"/>
      <w:divBdr>
        <w:top w:val="none" w:sz="0" w:space="0" w:color="auto"/>
        <w:left w:val="none" w:sz="0" w:space="0" w:color="auto"/>
        <w:bottom w:val="none" w:sz="0" w:space="0" w:color="auto"/>
        <w:right w:val="none" w:sz="0" w:space="0" w:color="auto"/>
      </w:divBdr>
    </w:div>
    <w:div w:id="478573494">
      <w:bodyDiv w:val="1"/>
      <w:marLeft w:val="0"/>
      <w:marRight w:val="0"/>
      <w:marTop w:val="0"/>
      <w:marBottom w:val="0"/>
      <w:divBdr>
        <w:top w:val="none" w:sz="0" w:space="0" w:color="auto"/>
        <w:left w:val="none" w:sz="0" w:space="0" w:color="auto"/>
        <w:bottom w:val="none" w:sz="0" w:space="0" w:color="auto"/>
        <w:right w:val="none" w:sz="0" w:space="0" w:color="auto"/>
      </w:divBdr>
    </w:div>
    <w:div w:id="573662176">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90192560">
      <w:bodyDiv w:val="1"/>
      <w:marLeft w:val="0"/>
      <w:marRight w:val="0"/>
      <w:marTop w:val="0"/>
      <w:marBottom w:val="0"/>
      <w:divBdr>
        <w:top w:val="none" w:sz="0" w:space="0" w:color="auto"/>
        <w:left w:val="none" w:sz="0" w:space="0" w:color="auto"/>
        <w:bottom w:val="none" w:sz="0" w:space="0" w:color="auto"/>
        <w:right w:val="none" w:sz="0" w:space="0" w:color="auto"/>
      </w:divBdr>
    </w:div>
    <w:div w:id="920984654">
      <w:bodyDiv w:val="1"/>
      <w:marLeft w:val="0"/>
      <w:marRight w:val="0"/>
      <w:marTop w:val="0"/>
      <w:marBottom w:val="0"/>
      <w:divBdr>
        <w:top w:val="none" w:sz="0" w:space="0" w:color="auto"/>
        <w:left w:val="none" w:sz="0" w:space="0" w:color="auto"/>
        <w:bottom w:val="none" w:sz="0" w:space="0" w:color="auto"/>
        <w:right w:val="none" w:sz="0" w:space="0" w:color="auto"/>
      </w:divBdr>
    </w:div>
    <w:div w:id="1205824914">
      <w:bodyDiv w:val="1"/>
      <w:marLeft w:val="0"/>
      <w:marRight w:val="0"/>
      <w:marTop w:val="0"/>
      <w:marBottom w:val="0"/>
      <w:divBdr>
        <w:top w:val="none" w:sz="0" w:space="0" w:color="auto"/>
        <w:left w:val="none" w:sz="0" w:space="0" w:color="auto"/>
        <w:bottom w:val="none" w:sz="0" w:space="0" w:color="auto"/>
        <w:right w:val="none" w:sz="0" w:space="0" w:color="auto"/>
      </w:divBdr>
    </w:div>
    <w:div w:id="13112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29F3-6725-4350-A539-A6EEB08F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Suvorov</dc:creator>
  <cp:lastModifiedBy>1</cp:lastModifiedBy>
  <cp:revision>2</cp:revision>
  <dcterms:created xsi:type="dcterms:W3CDTF">2020-12-01T06:26:00Z</dcterms:created>
  <dcterms:modified xsi:type="dcterms:W3CDTF">2020-12-01T06:26:00Z</dcterms:modified>
</cp:coreProperties>
</file>