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0C04E0" w:rsidP="009C2C14">
      <w:pPr>
        <w:rPr>
          <w:sz w:val="26"/>
          <w:szCs w:val="26"/>
        </w:rPr>
      </w:pPr>
      <w:r>
        <w:rPr>
          <w:sz w:val="26"/>
          <w:szCs w:val="26"/>
        </w:rPr>
        <w:t>30.08</w:t>
      </w:r>
      <w:r w:rsidR="00202AFF">
        <w:rPr>
          <w:sz w:val="26"/>
          <w:szCs w:val="26"/>
        </w:rPr>
        <w:t>.2017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 </w:t>
      </w:r>
      <w:r w:rsidR="009C2C14">
        <w:rPr>
          <w:sz w:val="26"/>
          <w:szCs w:val="26"/>
        </w:rPr>
        <w:t xml:space="preserve">                                                                                </w:t>
      </w:r>
      <w:r w:rsidR="004B6AF6" w:rsidRPr="004014BA">
        <w:rPr>
          <w:sz w:val="26"/>
          <w:szCs w:val="26"/>
        </w:rPr>
        <w:t xml:space="preserve">№ </w:t>
      </w:r>
      <w:r>
        <w:rPr>
          <w:sz w:val="26"/>
          <w:szCs w:val="26"/>
        </w:rPr>
        <w:t>155</w:t>
      </w:r>
      <w:r w:rsidR="009C2C14">
        <w:rPr>
          <w:sz w:val="26"/>
          <w:szCs w:val="26"/>
        </w:rPr>
        <w:t>/1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4B6AF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proofErr w:type="gramStart"/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>Р</w:t>
      </w:r>
      <w:proofErr w:type="gramEnd"/>
      <w:r w:rsidRPr="004014BA">
        <w:rPr>
          <w:spacing w:val="6"/>
          <w:sz w:val="26"/>
          <w:szCs w:val="26"/>
        </w:rPr>
        <w:t>азвитие физической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  <w:t xml:space="preserve">В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0C04E0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155  от 30.08</w:t>
      </w:r>
      <w:r w:rsidR="00202AFF">
        <w:rPr>
          <w:sz w:val="20"/>
          <w:szCs w:val="20"/>
        </w:rPr>
        <w:t>.2017</w:t>
      </w:r>
      <w:r w:rsidR="00A75711">
        <w:rPr>
          <w:sz w:val="20"/>
          <w:szCs w:val="20"/>
        </w:rPr>
        <w:t xml:space="preserve"> 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0C04E0">
              <w:rPr>
                <w:kern w:val="2"/>
                <w:sz w:val="26"/>
                <w:szCs w:val="26"/>
              </w:rPr>
              <w:t>оставляет –</w:t>
            </w:r>
            <w:r w:rsidR="000C04E0">
              <w:rPr>
                <w:kern w:val="2"/>
                <w:sz w:val="26"/>
                <w:szCs w:val="26"/>
              </w:rPr>
              <w:br/>
              <w:t>1892</w:t>
            </w:r>
            <w:r w:rsidR="00A75711">
              <w:rPr>
                <w:kern w:val="2"/>
                <w:sz w:val="26"/>
                <w:szCs w:val="26"/>
              </w:rPr>
              <w:t>,88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202AFF">
              <w:rPr>
                <w:kern w:val="2"/>
                <w:sz w:val="26"/>
                <w:szCs w:val="26"/>
              </w:rPr>
              <w:t>370,1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0C04E0">
              <w:rPr>
                <w:kern w:val="2"/>
                <w:sz w:val="26"/>
                <w:szCs w:val="26"/>
              </w:rPr>
              <w:t xml:space="preserve"> 1</w:t>
            </w:r>
            <w:r w:rsidR="00DC222D">
              <w:rPr>
                <w:kern w:val="2"/>
                <w:sz w:val="26"/>
                <w:szCs w:val="26"/>
              </w:rPr>
              <w:t>00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DC222D">
              <w:rPr>
                <w:kern w:val="2"/>
                <w:sz w:val="26"/>
                <w:szCs w:val="26"/>
              </w:rPr>
              <w:t>400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lastRenderedPageBreak/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lastRenderedPageBreak/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0C04E0">
        <w:rPr>
          <w:kern w:val="2"/>
          <w:sz w:val="26"/>
          <w:szCs w:val="26"/>
        </w:rPr>
        <w:t>1892</w:t>
      </w:r>
      <w:r w:rsidR="00A75711">
        <w:rPr>
          <w:kern w:val="2"/>
          <w:sz w:val="26"/>
          <w:szCs w:val="26"/>
        </w:rPr>
        <w:t>,88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r>
        <w:rPr>
          <w:kern w:val="2"/>
          <w:sz w:val="26"/>
          <w:szCs w:val="26"/>
        </w:rPr>
        <w:t>: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 w:rsidR="00202AFF">
        <w:rPr>
          <w:kern w:val="2"/>
          <w:sz w:val="26"/>
          <w:szCs w:val="26"/>
        </w:rPr>
        <w:t>370</w:t>
      </w:r>
      <w:r>
        <w:rPr>
          <w:kern w:val="2"/>
          <w:sz w:val="26"/>
          <w:szCs w:val="26"/>
        </w:rPr>
        <w:t>,1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 w:rsidR="000C04E0">
        <w:rPr>
          <w:kern w:val="2"/>
          <w:sz w:val="26"/>
          <w:szCs w:val="26"/>
        </w:rPr>
        <w:t xml:space="preserve"> 1</w:t>
      </w:r>
      <w:r>
        <w:rPr>
          <w:kern w:val="2"/>
          <w:sz w:val="26"/>
          <w:szCs w:val="26"/>
        </w:rPr>
        <w:t>00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>
        <w:rPr>
          <w:kern w:val="2"/>
          <w:sz w:val="26"/>
          <w:szCs w:val="26"/>
        </w:rPr>
        <w:t>400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5"/>
        <w:gridCol w:w="1706"/>
        <w:gridCol w:w="1583"/>
        <w:gridCol w:w="2391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19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450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90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33"/>
        <w:gridCol w:w="666"/>
        <w:gridCol w:w="866"/>
        <w:gridCol w:w="666"/>
        <w:gridCol w:w="666"/>
        <w:gridCol w:w="619"/>
        <w:gridCol w:w="666"/>
        <w:gridCol w:w="666"/>
        <w:gridCol w:w="1534"/>
        <w:gridCol w:w="1669"/>
      </w:tblGrid>
      <w:tr w:rsidR="004B6AF6" w:rsidRPr="002B0E96" w:rsidTr="001A59D3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1A59D3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9D3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0C04E0" w:rsidP="001A59D3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F8149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>
            <w:r>
              <w:rPr>
                <w:sz w:val="20"/>
                <w:szCs w:val="20"/>
              </w:rPr>
              <w:t>200</w:t>
            </w:r>
            <w:r w:rsidR="00F81491">
              <w:rPr>
                <w:sz w:val="20"/>
                <w:szCs w:val="20"/>
              </w:rPr>
              <w:t>,3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0C04E0">
            <w:r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 w:rsidR="00A75711"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 w:rsidP="004962C4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4962C4" w:rsidRDefault="00202AFF" w:rsidP="004962C4">
            <w:pPr>
              <w:jc w:val="center"/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666" w:type="dxa"/>
            <w:shd w:val="clear" w:color="auto" w:fill="auto"/>
          </w:tcPr>
          <w:p w:rsidR="004962C4" w:rsidRDefault="000C04E0" w:rsidP="004962C4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 w:rsidP="004962C4">
            <w:pPr>
              <w:jc w:val="center"/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4962C4" w:rsidRDefault="00934725">
            <w:r>
              <w:rPr>
                <w:sz w:val="20"/>
                <w:szCs w:val="20"/>
              </w:rPr>
              <w:t>33</w:t>
            </w:r>
            <w:r w:rsidR="009B4D40">
              <w:rPr>
                <w:sz w:val="20"/>
                <w:szCs w:val="20"/>
              </w:rPr>
              <w:t>0,1</w:t>
            </w:r>
          </w:p>
        </w:tc>
        <w:tc>
          <w:tcPr>
            <w:tcW w:w="666" w:type="dxa"/>
            <w:shd w:val="clear" w:color="auto" w:fill="auto"/>
          </w:tcPr>
          <w:p w:rsidR="004962C4" w:rsidRDefault="000C04E0">
            <w:r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>
            <w:r>
              <w:rPr>
                <w:sz w:val="20"/>
                <w:szCs w:val="20"/>
              </w:rPr>
              <w:t>360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4962C4" w:rsidRDefault="00934725">
            <w:r>
              <w:rPr>
                <w:b/>
                <w:sz w:val="20"/>
                <w:szCs w:val="20"/>
              </w:rPr>
              <w:t>37</w:t>
            </w:r>
            <w:r w:rsidR="00A75711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666" w:type="dxa"/>
            <w:shd w:val="clear" w:color="auto" w:fill="auto"/>
          </w:tcPr>
          <w:p w:rsidR="004962C4" w:rsidRDefault="000C04E0">
            <w:r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A7571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auto"/>
          </w:tcPr>
          <w:p w:rsidR="004962C4" w:rsidRDefault="00A75711"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0"/>
    <w:rsid w:val="00046201"/>
    <w:rsid w:val="00061E5A"/>
    <w:rsid w:val="000C04E0"/>
    <w:rsid w:val="00121296"/>
    <w:rsid w:val="00175032"/>
    <w:rsid w:val="001A59D3"/>
    <w:rsid w:val="00202AFF"/>
    <w:rsid w:val="00213180"/>
    <w:rsid w:val="002A7ECF"/>
    <w:rsid w:val="004962C4"/>
    <w:rsid w:val="004B6506"/>
    <w:rsid w:val="004B6AF6"/>
    <w:rsid w:val="005678B7"/>
    <w:rsid w:val="0065089F"/>
    <w:rsid w:val="00683241"/>
    <w:rsid w:val="006F2081"/>
    <w:rsid w:val="00800AF0"/>
    <w:rsid w:val="00934725"/>
    <w:rsid w:val="009B4D40"/>
    <w:rsid w:val="009B7CF6"/>
    <w:rsid w:val="009C2C14"/>
    <w:rsid w:val="00A23525"/>
    <w:rsid w:val="00A75711"/>
    <w:rsid w:val="00B21369"/>
    <w:rsid w:val="00CA5D42"/>
    <w:rsid w:val="00D11E0D"/>
    <w:rsid w:val="00D353AE"/>
    <w:rsid w:val="00D5643D"/>
    <w:rsid w:val="00D61799"/>
    <w:rsid w:val="00DC222D"/>
    <w:rsid w:val="00E71403"/>
    <w:rsid w:val="00F8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64F0-2CDA-4B53-8A49-B929E2A7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2017-09-28T12:44:00Z</cp:lastPrinted>
  <dcterms:created xsi:type="dcterms:W3CDTF">2015-02-25T05:41:00Z</dcterms:created>
  <dcterms:modified xsi:type="dcterms:W3CDTF">2017-09-28T12:45:00Z</dcterms:modified>
</cp:coreProperties>
</file>